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附件2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深圳元平特殊教育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学校面向2021年应届毕业生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2"/>
        <w:tblW w:w="93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559"/>
        <w:gridCol w:w="6"/>
        <w:gridCol w:w="34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4006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本人承诺：本表填写的信息全部属实。本人符合招聘公告规定的所有条件及报考岗位的所有资格要求。如</w:t>
      </w:r>
      <w:r>
        <w:rPr>
          <w:rFonts w:hint="eastAsia" w:ascii="楷体_GB2312" w:hAnsi="宋体" w:eastAsia="楷体_GB2312"/>
          <w:b/>
          <w:sz w:val="18"/>
          <w:szCs w:val="18"/>
          <w:lang w:eastAsia="zh-CN"/>
        </w:rPr>
        <w:t>信息不属实或</w:t>
      </w:r>
      <w:r>
        <w:rPr>
          <w:rFonts w:hint="eastAsia" w:ascii="楷体_GB2312" w:hAnsi="宋体" w:eastAsia="楷体_GB2312"/>
          <w:b/>
          <w:sz w:val="18"/>
          <w:szCs w:val="18"/>
        </w:rPr>
        <w:t>不符合，本人承担由此造成的一切后果。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  <w:bookmarkStart w:id="0" w:name="_GoBack"/>
      <w:bookmarkEnd w:id="0"/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665D1"/>
    <w:rsid w:val="0F36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2021-04-20T01:29:00Z</dcterms:created>
  <dc:creator>owner</dc:creator>
  <cp:lastModifiedBy>owner</cp:lastModifiedBy>
  <dcterms:modified xsi:type="dcterms:W3CDTF">2021-04-20T01:30:16Z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